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F1" w:rsidRPr="004B54F1" w:rsidRDefault="004B54F1" w:rsidP="004B54F1">
      <w:pPr>
        <w:overflowPunct w:val="0"/>
        <w:autoSpaceDE w:val="0"/>
        <w:autoSpaceDN w:val="0"/>
        <w:adjustRightInd w:val="0"/>
        <w:spacing w:after="0" w:line="240" w:lineRule="auto"/>
        <w:ind w:firstLine="709"/>
        <w:jc w:val="center"/>
        <w:textAlignment w:val="baseline"/>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ПОЛОЖЕНИЕ</w:t>
      </w:r>
    </w:p>
    <w:p w:rsidR="004B54F1" w:rsidRPr="004B54F1" w:rsidRDefault="004B54F1" w:rsidP="004B54F1">
      <w:pPr>
        <w:tabs>
          <w:tab w:val="left" w:pos="9637"/>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о городском конкурсе-фестивале юных инспекторов движения «Безопасное колесо - 201</w:t>
      </w:r>
      <w:r w:rsidR="001B4577">
        <w:rPr>
          <w:rFonts w:ascii="Times New Roman" w:eastAsia="Times New Roman" w:hAnsi="Times New Roman" w:cs="Times New Roman"/>
          <w:sz w:val="28"/>
          <w:szCs w:val="28"/>
          <w:lang w:eastAsia="ru-RU"/>
        </w:rPr>
        <w:t>7</w:t>
      </w:r>
      <w:r w:rsidRPr="004B54F1">
        <w:rPr>
          <w:rFonts w:ascii="Times New Roman" w:eastAsia="Times New Roman" w:hAnsi="Times New Roman" w:cs="Times New Roman"/>
          <w:sz w:val="28"/>
          <w:szCs w:val="28"/>
          <w:lang w:eastAsia="ru-RU"/>
        </w:rPr>
        <w:t>» среди обучающихся муниципальных общеобразовательных учреждений города Новосибирска</w:t>
      </w:r>
    </w:p>
    <w:p w:rsidR="004B54F1" w:rsidRPr="004B54F1" w:rsidRDefault="004B54F1" w:rsidP="004B54F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ОБЩИЕ ПОЛОЖЕНИЯ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Городской конкурс-фестиваль юных инспекторов движения </w:t>
      </w:r>
      <w:r w:rsidR="001B4577">
        <w:rPr>
          <w:rFonts w:ascii="Times New Roman" w:eastAsia="Times New Roman" w:hAnsi="Times New Roman" w:cs="Times New Roman"/>
          <w:sz w:val="28"/>
          <w:szCs w:val="28"/>
          <w:lang w:eastAsia="ru-RU"/>
        </w:rPr>
        <w:t>«Безопасное колесо - 2017</w:t>
      </w:r>
      <w:r w:rsidRPr="004B54F1">
        <w:rPr>
          <w:rFonts w:ascii="Times New Roman" w:eastAsia="Times New Roman" w:hAnsi="Times New Roman" w:cs="Times New Roman"/>
          <w:sz w:val="28"/>
          <w:szCs w:val="28"/>
          <w:lang w:eastAsia="ru-RU"/>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Конкурс-фестиваль (далее конкурс) юных инспекторов движения «Безопасное колесо - 201</w:t>
      </w:r>
      <w:r w:rsidR="001B4577">
        <w:rPr>
          <w:rFonts w:ascii="Times New Roman" w:eastAsia="Times New Roman" w:hAnsi="Times New Roman" w:cs="Times New Roman"/>
          <w:sz w:val="28"/>
          <w:szCs w:val="28"/>
          <w:lang w:eastAsia="ru-RU"/>
        </w:rPr>
        <w:t>7</w:t>
      </w:r>
      <w:r w:rsidRPr="004B54F1">
        <w:rPr>
          <w:rFonts w:ascii="Times New Roman" w:eastAsia="Times New Roman" w:hAnsi="Times New Roman" w:cs="Times New Roman"/>
          <w:sz w:val="28"/>
          <w:szCs w:val="28"/>
          <w:lang w:eastAsia="ru-RU"/>
        </w:rPr>
        <w:t xml:space="preserve">» проводится совместно </w:t>
      </w:r>
      <w:r w:rsidR="004372E7">
        <w:rPr>
          <w:rFonts w:ascii="Times New Roman" w:eastAsia="Times New Roman" w:hAnsi="Times New Roman" w:cs="Times New Roman"/>
          <w:sz w:val="28"/>
          <w:szCs w:val="28"/>
          <w:lang w:eastAsia="ru-RU"/>
        </w:rPr>
        <w:t>Департаментом</w:t>
      </w:r>
      <w:r w:rsidRPr="004B54F1">
        <w:rPr>
          <w:rFonts w:ascii="Times New Roman" w:eastAsia="Times New Roman" w:hAnsi="Times New Roman" w:cs="Times New Roman"/>
          <w:sz w:val="28"/>
          <w:szCs w:val="28"/>
          <w:lang w:eastAsia="ru-RU"/>
        </w:rPr>
        <w:t xml:space="preserve"> образования мэрии города Новосибирска, ОГИБДД УМВД России по городу Новосибирску и МАУДО «Детский автогородок».</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ЦЕЛИ КОНКУРСА</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1. Привлечь детей и подростков к участию в пропаганде Правил дорожного движения на улицах и дорогах среди сверстников.</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2. Воспитать законопослушных участников дорожного движения.</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3. Закрепить знания и навыки школьников по правилам дорожного движения. </w:t>
      </w:r>
    </w:p>
    <w:p w:rsidR="004B54F1" w:rsidRPr="004372E7" w:rsidRDefault="004B54F1" w:rsidP="004372E7">
      <w:pPr>
        <w:tabs>
          <w:tab w:val="left" w:pos="8460"/>
        </w:tabs>
        <w:spacing w:after="0" w:line="240" w:lineRule="auto"/>
        <w:ind w:firstLine="709"/>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ЗАДАЧИ КОНКУРСА</w:t>
      </w:r>
    </w:p>
    <w:p w:rsidR="004B54F1" w:rsidRPr="004B54F1" w:rsidRDefault="004B54F1" w:rsidP="004B54F1">
      <w:pPr>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1.Выявление и поддержка эффективно действующих отрядов ЮИД.</w:t>
      </w:r>
    </w:p>
    <w:p w:rsidR="004B54F1" w:rsidRPr="004B54F1" w:rsidRDefault="004B54F1" w:rsidP="004B54F1">
      <w:pPr>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2.Вовлечение школьников в ряды юных инспекторов дорожного движения.</w:t>
      </w:r>
    </w:p>
    <w:p w:rsidR="004B54F1" w:rsidRPr="004B54F1" w:rsidRDefault="004B54F1" w:rsidP="004B54F1">
      <w:pPr>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3.Отработка у школьников норм поведения на дорогах: «я пешеход», «я велосипедист», «я пассажир»;</w:t>
      </w:r>
    </w:p>
    <w:p w:rsidR="004B54F1" w:rsidRPr="004B54F1" w:rsidRDefault="004B54F1" w:rsidP="004B54F1">
      <w:pPr>
        <w:overflowPunct w:val="0"/>
        <w:autoSpaceDE w:val="0"/>
        <w:autoSpaceDN w:val="0"/>
        <w:adjustRightInd w:val="0"/>
        <w:spacing w:after="0" w:line="270" w:lineRule="atLeast"/>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4.Привлечение внимания общественности к проблеме детского травматизма на дорогах города Новосибирска.</w:t>
      </w:r>
    </w:p>
    <w:p w:rsidR="004B54F1" w:rsidRPr="004B54F1" w:rsidRDefault="004B54F1" w:rsidP="004B54F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ОРГАНИЗАЦИЯ И ПРОВЕДЕНИЕ КОНКУРСА</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Общее руководство подготовкой городского конкурса осуществляет организационный комитет.</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Городской конкурс проводится ежегодно, перед началом летних каникул</w:t>
      </w:r>
      <w:r>
        <w:rPr>
          <w:rFonts w:ascii="Times New Roman" w:eastAsia="Times New Roman" w:hAnsi="Times New Roman" w:cs="Times New Roman"/>
          <w:sz w:val="28"/>
          <w:szCs w:val="28"/>
          <w:lang w:eastAsia="ru-RU"/>
        </w:rPr>
        <w:t xml:space="preserve"> (27.04.2017</w:t>
      </w:r>
      <w:r w:rsidRPr="004B54F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w:t>
      </w:r>
      <w:r w:rsidR="001B4577">
        <w:rPr>
          <w:rFonts w:ascii="Times New Roman" w:eastAsia="Times New Roman" w:hAnsi="Times New Roman" w:cs="Times New Roman"/>
          <w:sz w:val="28"/>
          <w:szCs w:val="28"/>
          <w:lang w:eastAsia="ru-RU"/>
        </w:rPr>
        <w:t>04.2017</w:t>
      </w:r>
      <w:r w:rsidRPr="004B54F1">
        <w:rPr>
          <w:rFonts w:ascii="Times New Roman" w:eastAsia="Times New Roman" w:hAnsi="Times New Roman" w:cs="Times New Roman"/>
          <w:sz w:val="28"/>
          <w:szCs w:val="28"/>
          <w:lang w:eastAsia="ru-RU"/>
        </w:rPr>
        <w:t>). Место его проведения МАУДО «Детский автогородок».</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Подведение итогов конкурса возлагается на судейскую коллегию, утверждаемую организационным комитетом.</w:t>
      </w:r>
    </w:p>
    <w:p w:rsidR="004B54F1" w:rsidRPr="004B54F1" w:rsidRDefault="004B54F1" w:rsidP="004B54F1">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УЧАСТНИКИ СОРЕВНОВАНИЙ</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Участниками городского конкурса являются команды-победители районных конкурсов юных инспекторов движения «Безопасное колесо - 201</w:t>
      </w:r>
      <w:r w:rsidR="001B4577">
        <w:rPr>
          <w:rFonts w:ascii="Times New Roman" w:eastAsia="Times New Roman" w:hAnsi="Times New Roman" w:cs="Times New Roman"/>
          <w:sz w:val="28"/>
          <w:szCs w:val="28"/>
          <w:lang w:eastAsia="ru-RU"/>
        </w:rPr>
        <w:t>7</w:t>
      </w:r>
      <w:r w:rsidRPr="004B54F1">
        <w:rPr>
          <w:rFonts w:ascii="Times New Roman" w:eastAsia="Times New Roman" w:hAnsi="Times New Roman" w:cs="Times New Roman"/>
          <w:sz w:val="28"/>
          <w:szCs w:val="28"/>
          <w:lang w:eastAsia="ru-RU"/>
        </w:rPr>
        <w:t>».</w:t>
      </w:r>
    </w:p>
    <w:p w:rsidR="004B54F1" w:rsidRPr="004B54F1" w:rsidRDefault="004B54F1" w:rsidP="004B54F1">
      <w:pPr>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lastRenderedPageBreak/>
        <w:t>В состав каждой команды включаются 4 человека - два мальчика и две девочки в возрасте 10 - 12 лет, которым на время проведения городских соревнований исполнилось не более 1</w:t>
      </w:r>
      <w:r>
        <w:rPr>
          <w:rFonts w:ascii="Times New Roman" w:eastAsia="Times New Roman" w:hAnsi="Times New Roman" w:cs="Times New Roman"/>
          <w:sz w:val="28"/>
          <w:szCs w:val="28"/>
          <w:lang w:eastAsia="ru-RU"/>
        </w:rPr>
        <w:t>2 лет (2005,2006, 2007</w:t>
      </w:r>
      <w:r w:rsidRPr="004B54F1">
        <w:rPr>
          <w:rFonts w:ascii="Times New Roman" w:eastAsia="Times New Roman" w:hAnsi="Times New Roman" w:cs="Times New Roman"/>
          <w:sz w:val="28"/>
          <w:szCs w:val="28"/>
          <w:lang w:eastAsia="ru-RU"/>
        </w:rPr>
        <w:t xml:space="preserve"> г.р.)</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Допускаются к участию команды в неполном составе. В этом случае результаты учитываются только в личном зачёте.</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Команда должна иметь 1 укомплектованную санитарную сумку (Приложение 5).</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Каждый участник обязан иметь индивидуальные средства защиты (шлем, налокотники, наколенники).</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Питание участников соревнований осуществляется за счет средств направляющей стороны.</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Каждая команда предоставляет в рабочую группу следующие документы: заверенную органами образования и ОГИБДД заявку на участие в соревнованиях, ксерокопию свидетельства о рождении с фотографией.</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 случае выявления несоответствия между предоставленными командой документами и действительным возрастом участников соревнований команда принимает участие в соревнованиях вне конкурса. Остальные участники выступают только в личном зачете.</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Заявку об участии команды в городском конкурсе необходимо представить в организационный комитет (МАУДО «Детский автогородок», ул. Д. Ковальчук, 65а, тел. 225-92-48, avtogorodok_nsk@nios.ru) не поздне</w:t>
      </w:r>
      <w:r>
        <w:rPr>
          <w:rFonts w:ascii="Times New Roman" w:eastAsia="Times New Roman" w:hAnsi="Times New Roman" w:cs="Times New Roman"/>
          <w:sz w:val="28"/>
          <w:szCs w:val="28"/>
          <w:lang w:eastAsia="ru-RU"/>
        </w:rPr>
        <w:t xml:space="preserve">е </w:t>
      </w:r>
      <w:r w:rsidR="001B457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001B4577">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2017</w:t>
      </w:r>
      <w:r w:rsidRPr="004B54F1">
        <w:rPr>
          <w:rFonts w:ascii="Times New Roman" w:eastAsia="Times New Roman" w:hAnsi="Times New Roman" w:cs="Times New Roman"/>
          <w:sz w:val="28"/>
          <w:szCs w:val="28"/>
          <w:lang w:eastAsia="ru-RU"/>
        </w:rPr>
        <w:t xml:space="preserve"> года (Приложение 4). Команды, вовремя не представившие заявки, к соревнованиям не допускаются.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ПРОГРАММА ГОРОДСКОГО КОНКУРСА</w:t>
      </w:r>
    </w:p>
    <w:p w:rsidR="004B54F1" w:rsidRPr="004B54F1" w:rsidRDefault="004B54F1" w:rsidP="004B54F1">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Программа проведения финала Конкурса включает состязания (станции): 4 - в командном зачете и творческий конкурс.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1. «Знатоки ПДД»; индивидуальный теоретический экзамен на знание Правил дорожного движения Российской Федерации (далее - ПДД) с подведением командного результата;</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2. Индивидуальный экзамен - «Основы безопасности жизнедеятельности»;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3. Вождение велосипеда в автогородке;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4. Фигурное вождение велосипеда; индивидуальное фигурное вождение велосипеда на специально оборудованной препятствиями площадке с подведением командного результата.</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Творческий конкурс команд «Вместе - за безопасность дорожного движения» - представление </w:t>
      </w:r>
      <w:r w:rsidRPr="004B54F1">
        <w:rPr>
          <w:rFonts w:ascii="Times New Roman" w:eastAsia="Times New Roman" w:hAnsi="Times New Roman" w:cs="Times New Roman"/>
          <w:sz w:val="28"/>
          <w:szCs w:val="28"/>
          <w:lang w:eastAsia="ru-RU"/>
        </w:rPr>
        <w:lastRenderedPageBreak/>
        <w:t>агитационно-пропагандистского мероприятия по формированию у обучающихся навыков безопасного поведения на дорогах.</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Каждый участник при прохождении третьей и четвертой станций должен быть в защитных средствах (шлем, наколенники, налокотники). Соревнования проводятся на велосипедах с диаметром колеса не более 60 см (24 дюйма), шириной протектора не менее 40 мм и ножными, ручными или комбинированными тормозами (по выбору участника). Допускается использование многоскоростных велосипедов.</w:t>
      </w:r>
    </w:p>
    <w:p w:rsidR="004B54F1" w:rsidRPr="004B54F1" w:rsidRDefault="004B54F1" w:rsidP="004B54F1">
      <w:pPr>
        <w:overflowPunct w:val="0"/>
        <w:autoSpaceDE w:val="0"/>
        <w:autoSpaceDN w:val="0"/>
        <w:adjustRightInd w:val="0"/>
        <w:spacing w:after="0" w:line="240" w:lineRule="auto"/>
        <w:ind w:firstLine="709"/>
        <w:jc w:val="center"/>
        <w:textAlignment w:val="baseline"/>
        <w:outlineLvl w:val="0"/>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УСЛОВИЯ ПРОВЕДЕНИЯ КОНКУРСА В ЛИЧНОМ ПЕРВЕНСТВЕ</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1. «Знатоки ПДД» проводится методом программированного контроля знаний.</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Состязания проводятся в закрытом помещении (аудитории), в котором располагаются мультимедийный экран, видеопроектор (позволяющий видеть изображение на экране при включенном искусственном освещении), компьютер. </w:t>
      </w:r>
      <w:proofErr w:type="gramStart"/>
      <w:r w:rsidRPr="004B54F1">
        <w:rPr>
          <w:rFonts w:ascii="Times New Roman" w:eastAsia="Times New Roman" w:hAnsi="Times New Roman" w:cs="Times New Roman"/>
          <w:sz w:val="28"/>
          <w:szCs w:val="28"/>
          <w:lang w:eastAsia="ru-RU"/>
        </w:rPr>
        <w:t>Напротив</w:t>
      </w:r>
      <w:proofErr w:type="gramEnd"/>
      <w:r w:rsidRPr="004B54F1">
        <w:rPr>
          <w:rFonts w:ascii="Times New Roman" w:eastAsia="Times New Roman" w:hAnsi="Times New Roman" w:cs="Times New Roman"/>
          <w:sz w:val="28"/>
          <w:szCs w:val="28"/>
          <w:lang w:eastAsia="ru-RU"/>
        </w:rPr>
        <w:t xml:space="preserve"> экрана расставляются не более 8 столов для размещения за каждым столом по одному участнику. На столах должны находиться специальные пульты для ответов. На станцию прибывают одновременно не более 2-х команд согласно программе финала Конкурса. Сопровождающие на станцию не допускаются.</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Для проведения состязаний на первой станции готовятся 20 заданий (вопросов), которые выводятся на экран непосредственно перед началом состязаний. На решение каждого вопроса дается не более 30 секунд.</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 случае выявления неисправности автоматизированного комплекса в ходе состязания, результаты конкурса аннулируется, и состязание проводится вновь.</w:t>
      </w:r>
    </w:p>
    <w:p w:rsidR="004B54F1" w:rsidRPr="004B54F1" w:rsidRDefault="004B54F1" w:rsidP="004B54F1">
      <w:pPr>
        <w:spacing w:after="0" w:line="36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Задания на знание ПДД включают в себя:</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8 задач на знание очередности проезда перекрестка транспортными средствами. Задачи будут предложены с вариантами ответов, один или два из которых верные;</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4 задачи на знание сигналов регулировщика и светофоров. Задачи будут предложены с вариантами ответов, один или два из которых верные;</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4 задачи на знание дорожных знаков. Задачи будут предложены с вариантами ответов, один или два из которых верные.</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4 задачи на знание правил безопасного поведения пешеходов - велосипедистов на различных участках дорог, а также пассажиров в различных транспортных средствах.</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За каждое верно выполненное задание начисляется 1 балл.</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Победителями становятся участники, правильно ответившие на наибольшее количество вопросов. При равенстве очков первенство отдается участнику, </w:t>
      </w:r>
      <w:r w:rsidRPr="004B54F1">
        <w:rPr>
          <w:rFonts w:ascii="Times New Roman" w:eastAsia="Times New Roman" w:hAnsi="Times New Roman" w:cs="Times New Roman"/>
          <w:sz w:val="28"/>
          <w:szCs w:val="28"/>
          <w:lang w:eastAsia="ru-RU"/>
        </w:rPr>
        <w:lastRenderedPageBreak/>
        <w:t>затратившему на ответы меньшее время. За нарушение порядка во время выполнения заданий (разговоры друг с другом, подсказки, споры с судьей и т.д.) вычитается по одному бонусу у конкретного участника.</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2. Оказание доврачебной медицинской помощи проводится по билетам. Билет состоит из 3 блоков, в нём содержатся 5 вопросов на знание основ оказания первой доврачебной помощи, 1 вопрос по применению средств, имеющихся в автомобильной аптечке и одно практическое задание по применению подручных средств для оказания первой доврачебной помощи. Общее время на подготовку ответов и выполнение задания - 10 минут. Участник должен знать, как оказать первую медицинскую помощь при ранах, кровотечениях, переломах, ожогах, обморожениях, травмах головы, грудной клетки, живота, шоке, обмороке, виды транспортировки пострадавших.  Задание оценивается по балльной системе отдельно по теоретической и практической части этапа. Победителями становятся участники, набравшие наибольшее количество баллов по сумме теоретической и практической части. Если участник не уложился в контрольное время, то каждый нерешенный вопрос засчитывается как неправильный. В случае равенства суммы баллов первенство отдается участнику, затратившему на ответы и выполнение практического задания наименьшее время. За каждое замечание в адрес нарушителя дисциплины во время нахождения в классах «Теория» и «Практика» (переговоры друг с другом во время выполнения заданий, подсказки, споры с судьями, использование шпаргалок и т.д.) дополнительно снимается по одному бонусу с конкретных участников. Сопровождающие на данный этап не допускаются. Этап проводится в закрытом помещении, условно поделенном на 2 части: класс «Теории» и класс «Практики». Оценивается по 10 бальной системе.</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3. Фигурное вождение на велосипеде. Соревнование проходит на своих велосипедах, где на расстоянии не менее 3-х метров, последовательно друг за другом расставлены различные препятствия. </w:t>
      </w: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2402"/>
      </w:tblGrid>
      <w:tr w:rsidR="004B54F1" w:rsidRPr="004B54F1" w:rsidTr="00D166D4">
        <w:tc>
          <w:tcPr>
            <w:tcW w:w="7621"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Вид нарушения</w:t>
            </w:r>
          </w:p>
        </w:tc>
        <w:tc>
          <w:tcPr>
            <w:tcW w:w="2410"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Штрафные баллы</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Пропуск препятствий</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Касание земли двумя ногами (падение с велосипеда)</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Неполный проезд через препятствие (съезд с доски, пропуск одной части препятствия, касание частью тела либо частью велосипеда препятствия вне предусмотренных случаях)</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Пропуск или касание кегли (конуса) при слаломе (оценивается каждая кегля, конус)</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Выезд за территорию обозначенной трассы, где расположено препятствие (фигура)</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c>
          <w:tcPr>
            <w:tcW w:w="7621" w:type="dxa"/>
          </w:tcPr>
          <w:p w:rsidR="004B54F1" w:rsidRPr="004B54F1" w:rsidRDefault="004B54F1" w:rsidP="004B54F1">
            <w:pPr>
              <w:tabs>
                <w:tab w:val="left" w:pos="8460"/>
              </w:tabs>
              <w:spacing w:after="0" w:line="240" w:lineRule="auto"/>
              <w:ind w:firstLine="709"/>
              <w:jc w:val="both"/>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Касание земли одной ногой</w:t>
            </w:r>
          </w:p>
        </w:tc>
        <w:tc>
          <w:tcPr>
            <w:tcW w:w="2410" w:type="dxa"/>
          </w:tcPr>
          <w:p w:rsidR="004B54F1" w:rsidRPr="004B54F1" w:rsidRDefault="004B54F1" w:rsidP="004B54F1">
            <w:pPr>
              <w:tabs>
                <w:tab w:val="left" w:pos="8460"/>
              </w:tabs>
              <w:spacing w:after="0" w:line="240" w:lineRule="auto"/>
              <w:ind w:firstLine="709"/>
              <w:jc w:val="center"/>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bl>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p>
    <w:p w:rsidR="004B54F1" w:rsidRPr="004B54F1" w:rsidRDefault="004B54F1" w:rsidP="004B54F1">
      <w:pPr>
        <w:tabs>
          <w:tab w:val="num" w:pos="993"/>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4. Вождение велосипеда в автогородке. Участники должны проехать на своём велосипеде по </w:t>
      </w:r>
      <w:proofErr w:type="spellStart"/>
      <w:r w:rsidRPr="004B54F1">
        <w:rPr>
          <w:rFonts w:ascii="Times New Roman" w:eastAsia="Times New Roman" w:hAnsi="Times New Roman" w:cs="Times New Roman"/>
          <w:sz w:val="28"/>
          <w:szCs w:val="28"/>
          <w:lang w:eastAsia="ru-RU"/>
        </w:rPr>
        <w:t>автогородку</w:t>
      </w:r>
      <w:proofErr w:type="spellEnd"/>
      <w:r w:rsidRPr="004B54F1">
        <w:rPr>
          <w:rFonts w:ascii="Times New Roman" w:eastAsia="Times New Roman" w:hAnsi="Times New Roman" w:cs="Times New Roman"/>
          <w:sz w:val="28"/>
          <w:szCs w:val="28"/>
          <w:lang w:eastAsia="ru-RU"/>
        </w:rPr>
        <w:t>, продемонстрировав при этом умения ориентироваться в условиях, приближенных к реальным условиям дорожного движения. Каждый участник должен в течение 5 минут проехать через 6 контрольных пунктов (КП), соблюдая требова</w:t>
      </w:r>
      <w:r>
        <w:rPr>
          <w:rFonts w:ascii="Times New Roman" w:eastAsia="Times New Roman" w:hAnsi="Times New Roman" w:cs="Times New Roman"/>
          <w:sz w:val="28"/>
          <w:szCs w:val="28"/>
          <w:lang w:eastAsia="ru-RU"/>
        </w:rPr>
        <w:t xml:space="preserve">ние дорожных знаков, разметки. </w:t>
      </w:r>
      <w:r w:rsidRPr="004B54F1">
        <w:rPr>
          <w:rFonts w:ascii="Times New Roman" w:eastAsia="Times New Roman" w:hAnsi="Times New Roman" w:cs="Times New Roman"/>
          <w:sz w:val="28"/>
          <w:szCs w:val="28"/>
          <w:lang w:eastAsia="ru-RU"/>
        </w:rPr>
        <w:t>В соревнованиях может принимать участие одновременно группа в несколько человек. Если участник проехал все контрольные пункты раньше отведенного времени, то он продолжает движение к финишу, по любому маршруту, с обязательным соблюдением ПДД. После подачи сигнала об истечении отведенного времени все участники по любому выбранному маршруту едут к финишу, так же соблюдая при этом ПДД.</w:t>
      </w:r>
    </w:p>
    <w:p w:rsidR="004B54F1" w:rsidRPr="004B54F1" w:rsidRDefault="004B54F1" w:rsidP="004B54F1">
      <w:pPr>
        <w:spacing w:after="0" w:line="36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Штрафные баллы начисляются за следующие нарушения:</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595"/>
      </w:tblGrid>
      <w:tr w:rsidR="004B54F1" w:rsidRPr="004B54F1" w:rsidTr="00D166D4">
        <w:trPr>
          <w:trHeight w:val="369"/>
        </w:trPr>
        <w:tc>
          <w:tcPr>
            <w:tcW w:w="7371" w:type="dxa"/>
            <w:vAlign w:val="center"/>
          </w:tcPr>
          <w:p w:rsidR="004B54F1" w:rsidRPr="004B54F1" w:rsidRDefault="004B54F1" w:rsidP="004B54F1">
            <w:pPr>
              <w:spacing w:after="0" w:line="240" w:lineRule="auto"/>
              <w:ind w:left="360"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Вид нарушения</w:t>
            </w:r>
          </w:p>
        </w:tc>
        <w:tc>
          <w:tcPr>
            <w:tcW w:w="2595" w:type="dxa"/>
            <w:vAlign w:val="center"/>
          </w:tcPr>
          <w:p w:rsidR="004B54F1" w:rsidRPr="004B54F1" w:rsidRDefault="004B54F1" w:rsidP="004B54F1">
            <w:pPr>
              <w:tabs>
                <w:tab w:val="left" w:pos="0"/>
              </w:tabs>
              <w:spacing w:after="0" w:line="240" w:lineRule="auto"/>
              <w:ind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Штрафные баллы</w:t>
            </w:r>
          </w:p>
        </w:tc>
      </w:tr>
      <w:tr w:rsidR="004B54F1" w:rsidRPr="004B54F1" w:rsidTr="00D166D4">
        <w:trPr>
          <w:trHeight w:val="313"/>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пропуск КП</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24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подход к КП в пешем порядке</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наезд на другого участника или столкновение с велосипедом другого участника (ДТП)</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03"/>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пересечение сплошной линии разметки с выездом на полосу встречного движения</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финиш после подачи сигнала об истечении отведенного времени и за каждые 15 последующих секунд</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несоблюдение требований сигналов регулировщика и светофора (технических средств регулирования движения)</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34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падение с велосипеда во время движения</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3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непредставление преимущества проезда</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315"/>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несоблюдение требований дорожных знаков или разметки</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250"/>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несоблюдение правил очередности проезда</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609"/>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совершение маневра без подачи сигнала рукой о повороте или остановке</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подача сигнала рукой об остановке, которое может ввести в заблуждение других участников дорожного движения</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r w:rsidR="004B54F1" w:rsidRPr="004B54F1" w:rsidTr="00D166D4">
        <w:trPr>
          <w:trHeight w:val="568"/>
        </w:trPr>
        <w:tc>
          <w:tcPr>
            <w:tcW w:w="7371" w:type="dxa"/>
            <w:vAlign w:val="center"/>
          </w:tcPr>
          <w:p w:rsidR="004B54F1" w:rsidRPr="004B54F1" w:rsidRDefault="004B54F1" w:rsidP="004B54F1">
            <w:pPr>
              <w:numPr>
                <w:ilvl w:val="0"/>
                <w:numId w:val="1"/>
              </w:numPr>
              <w:tabs>
                <w:tab w:val="left" w:pos="293"/>
              </w:tabs>
              <w:spacing w:after="0" w:line="240" w:lineRule="auto"/>
              <w:ind w:left="34" w:firstLine="709"/>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другие нарушения правил дорожного движения на «Автогородке»</w:t>
            </w:r>
          </w:p>
        </w:tc>
        <w:tc>
          <w:tcPr>
            <w:tcW w:w="2595" w:type="dxa"/>
            <w:vAlign w:val="center"/>
          </w:tcPr>
          <w:p w:rsidR="004B54F1" w:rsidRPr="004B54F1" w:rsidRDefault="004B54F1" w:rsidP="004B54F1">
            <w:pPr>
              <w:tabs>
                <w:tab w:val="left" w:pos="490"/>
              </w:tabs>
              <w:spacing w:after="0" w:line="240" w:lineRule="auto"/>
              <w:ind w:left="-108" w:right="-108" w:firstLine="709"/>
              <w:jc w:val="center"/>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5</w:t>
            </w:r>
          </w:p>
        </w:tc>
      </w:tr>
    </w:tbl>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 случае равенства штрафных очков преимущество отдается участнику, затратившему наименьшее количество времени на прохождение станции. Велосипеды команды-участники привозят на соревнования с собой (не менее 2х велосипедов на команду).</w:t>
      </w: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ТВОРЧЕСКИЙ КОНКУРС</w:t>
      </w:r>
    </w:p>
    <w:p w:rsidR="004B54F1" w:rsidRPr="004B54F1" w:rsidRDefault="004B54F1" w:rsidP="004B54F1">
      <w:pPr>
        <w:overflowPunct w:val="0"/>
        <w:autoSpaceDE w:val="0"/>
        <w:autoSpaceDN w:val="0"/>
        <w:adjustRightInd w:val="0"/>
        <w:spacing w:after="0" w:line="240" w:lineRule="auto"/>
        <w:ind w:firstLine="709"/>
        <w:jc w:val="center"/>
        <w:textAlignment w:val="baseline"/>
        <w:outlineLvl w:val="0"/>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«Вместе - за безопасность дорожного движения»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Творческий конкурс команд «Вместе за безопасность дорожного движения» (далее - творческий конкурс) - представление агитационно-пропагандистских мероприятий по тематике безопасности дорожного движения - является обязательным и оценивается отдельно.</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Тема выступления «</w:t>
      </w:r>
      <w:r>
        <w:rPr>
          <w:rFonts w:ascii="Times New Roman" w:eastAsia="Times New Roman" w:hAnsi="Times New Roman" w:cs="Times New Roman"/>
          <w:sz w:val="28"/>
          <w:szCs w:val="28"/>
          <w:lang w:eastAsia="ru-RU"/>
        </w:rPr>
        <w:t>Мои безопасные каникулы…</w:t>
      </w:r>
      <w:r w:rsidRPr="004B54F1">
        <w:rPr>
          <w:rFonts w:ascii="Times New Roman" w:eastAsia="Times New Roman" w:hAnsi="Times New Roman" w:cs="Times New Roman"/>
          <w:sz w:val="28"/>
          <w:szCs w:val="28"/>
          <w:lang w:eastAsia="ru-RU"/>
        </w:rPr>
        <w:t xml:space="preserve">», должна иметь агитационную направленность, направленную на формирование у воспитанников дошкольных образовательных учреждений навыков безопасного поведения на дорогах.  </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Допускается использование дополнительной наглядной агитации, атрибутики и технического оснащения (в </w:t>
      </w:r>
      <w:proofErr w:type="spellStart"/>
      <w:r w:rsidRPr="004B54F1">
        <w:rPr>
          <w:rFonts w:ascii="Times New Roman" w:eastAsia="Times New Roman" w:hAnsi="Times New Roman" w:cs="Times New Roman"/>
          <w:sz w:val="28"/>
          <w:szCs w:val="28"/>
          <w:lang w:eastAsia="ru-RU"/>
        </w:rPr>
        <w:t>т.ч</w:t>
      </w:r>
      <w:proofErr w:type="spellEnd"/>
      <w:r w:rsidRPr="004B54F1">
        <w:rPr>
          <w:rFonts w:ascii="Times New Roman" w:eastAsia="Times New Roman" w:hAnsi="Times New Roman" w:cs="Times New Roman"/>
          <w:sz w:val="28"/>
          <w:szCs w:val="28"/>
          <w:lang w:eastAsia="ru-RU"/>
        </w:rPr>
        <w:t>. мультимедийного оборудования и музыкального сопровождения).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Продолжительность выступления – не более 5-и минут.</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На творческий конкурс одновременно прибывают не более 5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В случае превышения отведенного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4B54F1" w:rsidRPr="004B54F1" w:rsidRDefault="004B54F1" w:rsidP="004B54F1">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ОПРЕДЕЛЕНИЕ РЕЗУЛЬТАТОВ</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Итоги городского конкурса подводит судейская бригада.</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Победитель и призёры в личном многоборье определяются путём суммирования занятых мест в каждой из 4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Победителями и призёрами городского конкурса становятся:</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три команды, занявшие первые три места, показавшие лучшие результаты в командном первенстве;</w:t>
      </w:r>
    </w:p>
    <w:p w:rsidR="004B54F1" w:rsidRPr="004B54F1" w:rsidRDefault="004B54F1" w:rsidP="004B54F1">
      <w:pPr>
        <w:tabs>
          <w:tab w:val="left" w:pos="8460"/>
        </w:tabs>
        <w:spacing w:after="0" w:line="240" w:lineRule="auto"/>
        <w:ind w:firstLine="709"/>
        <w:jc w:val="both"/>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лучшие среди мальчиков и девочек, показавшие лучшие результаты в каждом из четырёх этапов многоборья.</w:t>
      </w:r>
    </w:p>
    <w:p w:rsidR="004B54F1" w:rsidRPr="004B54F1" w:rsidRDefault="004B54F1" w:rsidP="004B54F1">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outlineLvl w:val="0"/>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НАГРАЖДЕНИЕ ПОБЕДИТЕЛЕЙ</w:t>
      </w:r>
    </w:p>
    <w:p w:rsidR="004B54F1" w:rsidRPr="004B54F1" w:rsidRDefault="004B54F1" w:rsidP="004B54F1">
      <w:pPr>
        <w:tabs>
          <w:tab w:val="left" w:pos="963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Команды-победители награждаются дипломами лауреата, члены команд награждаются ценными подарками. Команды, занявшие с 4 по 10 место, награждаются дипломами участника и памятными подарками.</w:t>
      </w:r>
    </w:p>
    <w:p w:rsidR="004B54F1" w:rsidRPr="004B54F1" w:rsidRDefault="004B54F1" w:rsidP="004B54F1">
      <w:pPr>
        <w:tabs>
          <w:tab w:val="left" w:pos="963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 xml:space="preserve">Организационный комитет имеет право установить дополнительные поощрительные призы для участников соревнований. </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4B54F1" w:rsidRPr="004372E7" w:rsidRDefault="004B54F1" w:rsidP="004372E7">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ФИНАНСИРОВАНИЕ КОНКУРСА</w:t>
      </w:r>
    </w:p>
    <w:p w:rsidR="004372E7" w:rsidRPr="004B54F1" w:rsidRDefault="00DD4DC0" w:rsidP="004372E7">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w:t>
      </w:r>
      <w:bookmarkStart w:id="0" w:name="_GoBack"/>
      <w:bookmarkEnd w:id="0"/>
      <w:r w:rsidR="004372E7" w:rsidRPr="004B54F1">
        <w:rPr>
          <w:rFonts w:ascii="Times New Roman" w:eastAsia="Times New Roman" w:hAnsi="Times New Roman" w:cs="Times New Roman"/>
          <w:sz w:val="28"/>
          <w:szCs w:val="28"/>
          <w:lang w:eastAsia="ru-RU"/>
        </w:rPr>
        <w:t xml:space="preserve"> образования мэрии города Новосибирска, ОГИБДД УМВД России по г. Новосибирску, МАУДО «Детский автогородок».</w:t>
      </w:r>
    </w:p>
    <w:p w:rsidR="004372E7" w:rsidRPr="004372E7" w:rsidRDefault="004372E7" w:rsidP="004372E7">
      <w:pPr>
        <w:spacing w:after="0" w:line="240" w:lineRule="auto"/>
        <w:ind w:right="85" w:firstLine="567"/>
        <w:jc w:val="both"/>
        <w:outlineLvl w:val="0"/>
        <w:rPr>
          <w:rFonts w:ascii="Times New Roman" w:eastAsia="Times New Roman" w:hAnsi="Times New Roman" w:cs="Times New Roman"/>
          <w:sz w:val="26"/>
          <w:szCs w:val="26"/>
          <w:lang w:eastAsia="ru-RU"/>
        </w:rPr>
      </w:pPr>
      <w:r w:rsidRPr="004372E7">
        <w:rPr>
          <w:rFonts w:ascii="Times New Roman" w:eastAsia="Times New Roman" w:hAnsi="Times New Roman" w:cs="Times New Roman"/>
          <w:sz w:val="26"/>
          <w:szCs w:val="26"/>
          <w:lang w:eastAsia="ru-RU"/>
        </w:rPr>
        <w:t xml:space="preserve"> </w:t>
      </w:r>
    </w:p>
    <w:p w:rsidR="004372E7" w:rsidRPr="004372E7" w:rsidRDefault="004B54F1" w:rsidP="004372E7">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8"/>
          <w:szCs w:val="28"/>
          <w:lang w:eastAsia="ru-RU"/>
        </w:rPr>
      </w:pPr>
      <w:r w:rsidRPr="004372E7">
        <w:rPr>
          <w:rFonts w:ascii="Times New Roman" w:eastAsia="Times New Roman" w:hAnsi="Times New Roman" w:cs="Times New Roman"/>
          <w:b/>
          <w:sz w:val="28"/>
          <w:szCs w:val="28"/>
          <w:lang w:eastAsia="ru-RU"/>
        </w:rPr>
        <w:t>Контактный телефон</w:t>
      </w:r>
      <w:r w:rsidR="004372E7" w:rsidRPr="004372E7">
        <w:rPr>
          <w:rFonts w:ascii="Times New Roman" w:eastAsia="Times New Roman" w:hAnsi="Times New Roman" w:cs="Times New Roman"/>
          <w:b/>
          <w:sz w:val="28"/>
          <w:szCs w:val="28"/>
          <w:lang w:eastAsia="ru-RU"/>
        </w:rPr>
        <w:t>:</w:t>
      </w:r>
    </w:p>
    <w:p w:rsidR="004372E7" w:rsidRDefault="004372E7"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372E7">
        <w:rPr>
          <w:rFonts w:ascii="Times New Roman" w:eastAsia="Times New Roman" w:hAnsi="Times New Roman" w:cs="Times New Roman"/>
          <w:sz w:val="26"/>
          <w:szCs w:val="26"/>
          <w:lang w:eastAsia="ru-RU"/>
        </w:rPr>
        <w:t>(383) 227-45-39 – Пяткина Оксана Анатольевна,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w:t>
      </w:r>
      <w:r w:rsidR="004B54F1" w:rsidRPr="004B54F1">
        <w:rPr>
          <w:rFonts w:ascii="Times New Roman" w:eastAsia="Times New Roman" w:hAnsi="Times New Roman" w:cs="Times New Roman"/>
          <w:sz w:val="28"/>
          <w:szCs w:val="28"/>
          <w:lang w:eastAsia="ru-RU"/>
        </w:rPr>
        <w:t xml:space="preserve"> </w:t>
      </w:r>
    </w:p>
    <w:p w:rsidR="004B54F1" w:rsidRPr="004B54F1" w:rsidRDefault="004B54F1" w:rsidP="004B54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54F1">
        <w:rPr>
          <w:rFonts w:ascii="Times New Roman" w:eastAsia="Times New Roman" w:hAnsi="Times New Roman" w:cs="Times New Roman"/>
          <w:sz w:val="28"/>
          <w:szCs w:val="28"/>
          <w:lang w:eastAsia="ru-RU"/>
        </w:rPr>
        <w:t>(383) 225-92-48 - Лапская Елена Валериевна, методист МАУДО «Детский автогородок».</w:t>
      </w:r>
    </w:p>
    <w:p w:rsidR="004B54F1" w:rsidRPr="004B54F1" w:rsidRDefault="004B54F1" w:rsidP="004B54F1">
      <w:pPr>
        <w:spacing w:after="0" w:line="240" w:lineRule="auto"/>
        <w:ind w:firstLine="709"/>
        <w:jc w:val="both"/>
        <w:rPr>
          <w:rFonts w:ascii="Times New Roman" w:eastAsia="Times New Roman" w:hAnsi="Times New Roman" w:cs="Times New Roman"/>
          <w:sz w:val="28"/>
          <w:szCs w:val="28"/>
          <w:lang w:eastAsia="ru-RU"/>
        </w:rPr>
      </w:pPr>
    </w:p>
    <w:p w:rsidR="004B54F1" w:rsidRPr="004B54F1" w:rsidRDefault="004B54F1" w:rsidP="004B54F1">
      <w:pPr>
        <w:spacing w:after="0" w:line="240" w:lineRule="auto"/>
        <w:jc w:val="center"/>
        <w:rPr>
          <w:rFonts w:ascii="Times New Roman" w:eastAsia="Times New Roman" w:hAnsi="Times New Roman" w:cs="Times New Roman"/>
          <w:sz w:val="24"/>
          <w:szCs w:val="24"/>
          <w:lang w:eastAsia="ru-RU"/>
        </w:rPr>
      </w:pPr>
      <w:r w:rsidRPr="004B54F1">
        <w:rPr>
          <w:rFonts w:ascii="Times New Roman" w:eastAsia="Times New Roman" w:hAnsi="Times New Roman" w:cs="Times New Roman"/>
          <w:sz w:val="28"/>
          <w:szCs w:val="28"/>
          <w:lang w:eastAsia="ru-RU"/>
        </w:rPr>
        <w:t>__________________</w:t>
      </w: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p w:rsidR="004B54F1" w:rsidRPr="004B54F1" w:rsidRDefault="004B54F1" w:rsidP="004B54F1">
      <w:pPr>
        <w:spacing w:after="0" w:line="240" w:lineRule="auto"/>
        <w:ind w:right="-427" w:firstLine="709"/>
        <w:jc w:val="center"/>
        <w:rPr>
          <w:rFonts w:ascii="Times New Roman" w:eastAsia="Times New Roman" w:hAnsi="Times New Roman" w:cs="Times New Roman"/>
          <w:sz w:val="28"/>
          <w:szCs w:val="28"/>
          <w:lang w:eastAsia="ru-RU"/>
        </w:rPr>
      </w:pPr>
    </w:p>
    <w:sectPr w:rsidR="004B54F1" w:rsidRPr="004B54F1" w:rsidSect="004362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6DF"/>
    <w:multiLevelType w:val="hybridMultilevel"/>
    <w:tmpl w:val="92A69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1"/>
    <w:rsid w:val="001546B5"/>
    <w:rsid w:val="001B4577"/>
    <w:rsid w:val="004372E7"/>
    <w:rsid w:val="004B54F1"/>
    <w:rsid w:val="00C04F8D"/>
    <w:rsid w:val="00D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6B2-EAF7-4BB2-AB83-8BB71EE7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cp:revision>
  <dcterms:created xsi:type="dcterms:W3CDTF">2017-01-23T08:31:00Z</dcterms:created>
  <dcterms:modified xsi:type="dcterms:W3CDTF">2017-01-24T09:50:00Z</dcterms:modified>
</cp:coreProperties>
</file>